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8210" w14:textId="77777777" w:rsidR="002A291A" w:rsidRDefault="002A291A"/>
    <w:p w14:paraId="72F50B1D" w14:textId="77777777" w:rsidR="002546E8" w:rsidRDefault="002546E8" w:rsidP="002546E8">
      <w:pPr>
        <w:pStyle w:val="NormalWeb"/>
      </w:pPr>
      <w:r>
        <w:rPr>
          <w:rStyle w:val="Strong"/>
          <w:rFonts w:eastAsiaTheme="majorEastAsia"/>
        </w:rPr>
        <w:t>Response to Community Health Needs Assessment Concerns</w:t>
      </w:r>
    </w:p>
    <w:p w14:paraId="3DB84C6C" w14:textId="77777777" w:rsidR="002546E8" w:rsidRDefault="002546E8" w:rsidP="002546E8">
      <w:pPr>
        <w:pStyle w:val="NormalWeb"/>
      </w:pPr>
      <w:r>
        <w:t>Thank you for highlighting these critical concerns in the 2025 Community Health Needs Assessment. We appreciate the input from community members and stakeholders and recognize the ongoing challenges faced in ensuring equitable access to quality healthcare. Below is our response to the primary concerns identified:</w:t>
      </w:r>
    </w:p>
    <w:p w14:paraId="6258B2DC" w14:textId="77777777" w:rsidR="002546E8" w:rsidRDefault="002546E8" w:rsidP="002546E8">
      <w:pPr>
        <w:pStyle w:val="NormalWeb"/>
        <w:numPr>
          <w:ilvl w:val="0"/>
          <w:numId w:val="1"/>
        </w:numPr>
      </w:pPr>
      <w:r>
        <w:rPr>
          <w:rStyle w:val="Strong"/>
          <w:rFonts w:eastAsiaTheme="majorEastAsia"/>
        </w:rPr>
        <w:t>Access to Quality Healthcare Services</w:t>
      </w:r>
      <w:r>
        <w:br/>
        <w:t>We acknowledge the continued need for improved access to primary care, dental, mental health, and specialty care. Efforts are ongoing to enhance the recruitment and retention of healthcare providers, particularly in underserved and rural areas. We are also working to expand access to specialty care through partnerships with regional providers and telehealth initiatives that connect patients with specialists regardless of location.</w:t>
      </w:r>
    </w:p>
    <w:p w14:paraId="7FD283C6" w14:textId="77777777" w:rsidR="002546E8" w:rsidRDefault="002546E8" w:rsidP="002546E8">
      <w:pPr>
        <w:pStyle w:val="NormalWeb"/>
        <w:numPr>
          <w:ilvl w:val="0"/>
          <w:numId w:val="1"/>
        </w:numPr>
      </w:pPr>
      <w:r>
        <w:rPr>
          <w:rStyle w:val="Strong"/>
          <w:rFonts w:eastAsiaTheme="majorEastAsia"/>
        </w:rPr>
        <w:t>Substance Abuse – Focus on Prevention and Community Partnerships</w:t>
      </w:r>
      <w:r>
        <w:br/>
        <w:t>Substance abuse continues to be a serious concern affecting overall health and quality of life in our community. While the scope of services in a rural community may be limited, we are actively exploring opportunities and partnerships with organizations across our region and state to support substance abuse recovery. Our focus is on strengthening prevention through community education, early intervention, and increasing awareness of available treatment options. We are committed to collaborating with schools, public health agencies, and behavioral health partners to expand access to resources and promote a healthier future for all residents.</w:t>
      </w:r>
    </w:p>
    <w:p w14:paraId="4A164BAC" w14:textId="77777777" w:rsidR="002546E8" w:rsidRDefault="002546E8" w:rsidP="002546E8">
      <w:pPr>
        <w:pStyle w:val="NormalWeb"/>
        <w:numPr>
          <w:ilvl w:val="0"/>
          <w:numId w:val="1"/>
        </w:numPr>
      </w:pPr>
      <w:r>
        <w:rPr>
          <w:rStyle w:val="Strong"/>
          <w:rFonts w:eastAsiaTheme="majorEastAsia"/>
        </w:rPr>
        <w:t>Mental Health – Education, Awareness, and Resource Connection</w:t>
      </w:r>
      <w:r>
        <w:br/>
        <w:t>Mental health remains a vital area of focus, and we recognize the importance of supporting individuals and families facing mental health challenges. Our goal is to enhance community awareness, reduce stigma, and help individuals connect with available mental health resources through education and outreach. By working with local and state partners, we aim to improve access to information and promote a community culture that supports mental and emotional well-being.</w:t>
      </w:r>
    </w:p>
    <w:p w14:paraId="5461F25B" w14:textId="77777777" w:rsidR="002546E8" w:rsidRDefault="002546E8" w:rsidP="002546E8">
      <w:pPr>
        <w:pStyle w:val="NormalWeb"/>
        <w:numPr>
          <w:ilvl w:val="0"/>
          <w:numId w:val="1"/>
        </w:numPr>
      </w:pPr>
      <w:r>
        <w:rPr>
          <w:rStyle w:val="Strong"/>
          <w:rFonts w:eastAsiaTheme="majorEastAsia"/>
        </w:rPr>
        <w:t>Health Literacy and Service Awareness</w:t>
      </w:r>
      <w:r>
        <w:br/>
        <w:t>We understand that navigating healthcare services can be challenging. We are developing community-focused educational programs to improve health literacy and awareness of available services. These initiatives will be delivered through interactive opportunities, printed materials, and digital platforms, with an emphasis on reaching underserved populations.</w:t>
      </w:r>
    </w:p>
    <w:p w14:paraId="4C9B63FA" w14:textId="77777777" w:rsidR="002546E8" w:rsidRDefault="002546E8" w:rsidP="002546E8">
      <w:pPr>
        <w:pStyle w:val="NormalWeb"/>
        <w:numPr>
          <w:ilvl w:val="0"/>
          <w:numId w:val="1"/>
        </w:numPr>
      </w:pPr>
      <w:r>
        <w:rPr>
          <w:rStyle w:val="Strong"/>
          <w:rFonts w:eastAsiaTheme="majorEastAsia"/>
        </w:rPr>
        <w:t>Chronic Disease and Wellness Barriers</w:t>
      </w:r>
      <w:r>
        <w:br/>
        <w:t xml:space="preserve">Chronic conditions such as obesity, hypertension, and heart disease are deeply connected to limited access to care and health education. In response, we are promoting access to wellness care, preventive screenings, and community resources to help support needs identified in our community.  </w:t>
      </w:r>
    </w:p>
    <w:p w14:paraId="00573C46" w14:textId="77777777" w:rsidR="002546E8" w:rsidRDefault="002546E8" w:rsidP="002546E8">
      <w:pPr>
        <w:pStyle w:val="NormalWeb"/>
        <w:numPr>
          <w:ilvl w:val="0"/>
          <w:numId w:val="1"/>
        </w:numPr>
      </w:pPr>
      <w:r>
        <w:rPr>
          <w:rStyle w:val="Strong"/>
          <w:rFonts w:eastAsiaTheme="majorEastAsia"/>
        </w:rPr>
        <w:lastRenderedPageBreak/>
        <w:t>Transportation and Access Challenges</w:t>
      </w:r>
      <w:r>
        <w:br/>
        <w:t>Lack of public transportation continues to be a barrier to care, especially in rural areas. We are exploring partnerships with local agencies to expand transportation assistance programs, including shuttle services and ride-sharing initiatives for medical appointments.</w:t>
      </w:r>
    </w:p>
    <w:p w14:paraId="2DB003BA" w14:textId="77777777" w:rsidR="002546E8" w:rsidRDefault="002546E8" w:rsidP="002546E8">
      <w:pPr>
        <w:pStyle w:val="NormalWeb"/>
        <w:numPr>
          <w:ilvl w:val="0"/>
          <w:numId w:val="1"/>
        </w:numPr>
      </w:pPr>
      <w:r>
        <w:rPr>
          <w:rStyle w:val="Strong"/>
          <w:rFonts w:eastAsiaTheme="majorEastAsia"/>
        </w:rPr>
        <w:t>Support for Vulnerable Populations</w:t>
      </w:r>
      <w:r>
        <w:br/>
        <w:t>We recognize the unique challenges faced by residents in rural areas, low-income households, and the elderly. Our approach includes expanding access to health services, enhancing outreach throughout the community, and improving digital connectivity for telehealth solutions to meet the needs of our community.</w:t>
      </w:r>
    </w:p>
    <w:p w14:paraId="548BB62F" w14:textId="77777777" w:rsidR="002546E8" w:rsidRDefault="002546E8" w:rsidP="002546E8">
      <w:pPr>
        <w:pStyle w:val="NormalWeb"/>
      </w:pPr>
      <w:r>
        <w:t>We remain committed to working collaboratively with community members, providers, and local organizations to address these challenges. Your input continues to guide our planning and resource allocation to build a healthier, more equitable future for all residents.</w:t>
      </w:r>
    </w:p>
    <w:p w14:paraId="0ED91978" w14:textId="77777777" w:rsidR="002546E8" w:rsidRDefault="002546E8" w:rsidP="002546E8"/>
    <w:p w14:paraId="4E2A029A" w14:textId="4AD3D98F" w:rsidR="532EB7AF" w:rsidRDefault="532EB7AF"/>
    <w:sectPr w:rsidR="532EB7AF" w:rsidSect="00037CAD">
      <w:headerReference w:type="default" r:id="rId10"/>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E495" w14:textId="77777777" w:rsidR="004146AD" w:rsidRDefault="004146AD" w:rsidP="004146AD">
      <w:pPr>
        <w:spacing w:after="0" w:line="240" w:lineRule="auto"/>
      </w:pPr>
      <w:r>
        <w:separator/>
      </w:r>
    </w:p>
  </w:endnote>
  <w:endnote w:type="continuationSeparator" w:id="0">
    <w:p w14:paraId="59FA97FF" w14:textId="77777777" w:rsidR="004146AD" w:rsidRDefault="004146AD" w:rsidP="00414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3F84" w14:textId="77777777" w:rsidR="004146AD" w:rsidRDefault="004146AD" w:rsidP="004146AD">
      <w:pPr>
        <w:spacing w:after="0" w:line="240" w:lineRule="auto"/>
      </w:pPr>
      <w:r>
        <w:separator/>
      </w:r>
    </w:p>
  </w:footnote>
  <w:footnote w:type="continuationSeparator" w:id="0">
    <w:p w14:paraId="5EF242F9" w14:textId="77777777" w:rsidR="004146AD" w:rsidRDefault="004146AD" w:rsidP="00414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C4F2" w14:textId="11926671" w:rsidR="004146AD" w:rsidRDefault="004146AD">
    <w:pPr>
      <w:pStyle w:val="Header"/>
    </w:pPr>
    <w:r>
      <w:rPr>
        <w:noProof/>
      </w:rPr>
      <w:drawing>
        <wp:inline distT="0" distB="0" distL="0" distR="0" wp14:anchorId="3870B70C" wp14:editId="51FF7EBC">
          <wp:extent cx="5943600" cy="1170305"/>
          <wp:effectExtent l="0" t="0" r="0" b="0"/>
          <wp:docPr id="384041907"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41907"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1703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606"/>
    <w:multiLevelType w:val="multilevel"/>
    <w:tmpl w:val="9FE24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521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6AD"/>
    <w:rsid w:val="00037CAD"/>
    <w:rsid w:val="002546E8"/>
    <w:rsid w:val="002A291A"/>
    <w:rsid w:val="004146AD"/>
    <w:rsid w:val="00685027"/>
    <w:rsid w:val="006E5403"/>
    <w:rsid w:val="00727F5A"/>
    <w:rsid w:val="007A39E5"/>
    <w:rsid w:val="00C10766"/>
    <w:rsid w:val="532EB7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9576C"/>
  <w15:chartTrackingRefBased/>
  <w15:docId w15:val="{F58A1D82-F684-4386-9933-EE2DACFC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91A"/>
  </w:style>
  <w:style w:type="paragraph" w:styleId="Heading1">
    <w:name w:val="heading 1"/>
    <w:basedOn w:val="Normal"/>
    <w:next w:val="Normal"/>
    <w:link w:val="Heading1Char"/>
    <w:uiPriority w:val="9"/>
    <w:qFormat/>
    <w:rsid w:val="00414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6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6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6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6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6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6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6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6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6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6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6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6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6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6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6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6AD"/>
    <w:rPr>
      <w:rFonts w:eastAsiaTheme="majorEastAsia" w:cstheme="majorBidi"/>
      <w:color w:val="272727" w:themeColor="text1" w:themeTint="D8"/>
    </w:rPr>
  </w:style>
  <w:style w:type="paragraph" w:styleId="Title">
    <w:name w:val="Title"/>
    <w:basedOn w:val="Normal"/>
    <w:next w:val="Normal"/>
    <w:link w:val="TitleChar"/>
    <w:uiPriority w:val="10"/>
    <w:qFormat/>
    <w:rsid w:val="00414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6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6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6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6AD"/>
    <w:pPr>
      <w:spacing w:before="160"/>
      <w:jc w:val="center"/>
    </w:pPr>
    <w:rPr>
      <w:i/>
      <w:iCs/>
      <w:color w:val="404040" w:themeColor="text1" w:themeTint="BF"/>
    </w:rPr>
  </w:style>
  <w:style w:type="character" w:customStyle="1" w:styleId="QuoteChar">
    <w:name w:val="Quote Char"/>
    <w:basedOn w:val="DefaultParagraphFont"/>
    <w:link w:val="Quote"/>
    <w:uiPriority w:val="29"/>
    <w:rsid w:val="004146AD"/>
    <w:rPr>
      <w:i/>
      <w:iCs/>
      <w:color w:val="404040" w:themeColor="text1" w:themeTint="BF"/>
    </w:rPr>
  </w:style>
  <w:style w:type="paragraph" w:styleId="ListParagraph">
    <w:name w:val="List Paragraph"/>
    <w:basedOn w:val="Normal"/>
    <w:uiPriority w:val="34"/>
    <w:qFormat/>
    <w:rsid w:val="004146AD"/>
    <w:pPr>
      <w:ind w:left="720"/>
      <w:contextualSpacing/>
    </w:pPr>
  </w:style>
  <w:style w:type="character" w:styleId="IntenseEmphasis">
    <w:name w:val="Intense Emphasis"/>
    <w:basedOn w:val="DefaultParagraphFont"/>
    <w:uiPriority w:val="21"/>
    <w:qFormat/>
    <w:rsid w:val="004146AD"/>
    <w:rPr>
      <w:i/>
      <w:iCs/>
      <w:color w:val="0F4761" w:themeColor="accent1" w:themeShade="BF"/>
    </w:rPr>
  </w:style>
  <w:style w:type="paragraph" w:styleId="IntenseQuote">
    <w:name w:val="Intense Quote"/>
    <w:basedOn w:val="Normal"/>
    <w:next w:val="Normal"/>
    <w:link w:val="IntenseQuoteChar"/>
    <w:uiPriority w:val="30"/>
    <w:qFormat/>
    <w:rsid w:val="00414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6AD"/>
    <w:rPr>
      <w:i/>
      <w:iCs/>
      <w:color w:val="0F4761" w:themeColor="accent1" w:themeShade="BF"/>
    </w:rPr>
  </w:style>
  <w:style w:type="character" w:styleId="IntenseReference">
    <w:name w:val="Intense Reference"/>
    <w:basedOn w:val="DefaultParagraphFont"/>
    <w:uiPriority w:val="32"/>
    <w:qFormat/>
    <w:rsid w:val="004146AD"/>
    <w:rPr>
      <w:b/>
      <w:bCs/>
      <w:smallCaps/>
      <w:color w:val="0F4761" w:themeColor="accent1" w:themeShade="BF"/>
      <w:spacing w:val="5"/>
    </w:rPr>
  </w:style>
  <w:style w:type="paragraph" w:styleId="Header">
    <w:name w:val="header"/>
    <w:basedOn w:val="Normal"/>
    <w:link w:val="HeaderChar"/>
    <w:uiPriority w:val="99"/>
    <w:unhideWhenUsed/>
    <w:rsid w:val="00414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6AD"/>
  </w:style>
  <w:style w:type="paragraph" w:styleId="Footer">
    <w:name w:val="footer"/>
    <w:basedOn w:val="Normal"/>
    <w:link w:val="FooterChar"/>
    <w:uiPriority w:val="99"/>
    <w:unhideWhenUsed/>
    <w:rsid w:val="00414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6AD"/>
  </w:style>
  <w:style w:type="paragraph" w:styleId="NormalWeb">
    <w:name w:val="Normal (Web)"/>
    <w:basedOn w:val="Normal"/>
    <w:uiPriority w:val="99"/>
    <w:semiHidden/>
    <w:unhideWhenUsed/>
    <w:rsid w:val="002546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546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947f6-5972-4897-bd30-84ce09a0b03a" xsi:nil="true"/>
    <lcf76f155ced4ddcb4097134ff3c332f xmlns="a02f52e5-9c6c-4007-a496-7ac12bba88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02BD925E9CEB479315CFC7509D3415" ma:contentTypeVersion="13" ma:contentTypeDescription="Create a new document." ma:contentTypeScope="" ma:versionID="c224c39930214012972a38e6ae9575fe">
  <xsd:schema xmlns:xsd="http://www.w3.org/2001/XMLSchema" xmlns:xs="http://www.w3.org/2001/XMLSchema" xmlns:p="http://schemas.microsoft.com/office/2006/metadata/properties" xmlns:ns2="a02f52e5-9c6c-4007-a496-7ac12bba886f" xmlns:ns3="762947f6-5972-4897-bd30-84ce09a0b03a" targetNamespace="http://schemas.microsoft.com/office/2006/metadata/properties" ma:root="true" ma:fieldsID="5852554fd4c2217ede833abb9148e2dd" ns2:_="" ns3:_="">
    <xsd:import namespace="a02f52e5-9c6c-4007-a496-7ac12bba886f"/>
    <xsd:import namespace="762947f6-5972-4897-bd30-84ce09a0b0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f52e5-9c6c-4007-a496-7ac12bba8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82807b-b928-42a7-a023-ec742bdbbc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947f6-5972-4897-bd30-84ce09a0b0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55bc954-7001-4384-b6f1-1911f5ab3ab8}" ma:internalName="TaxCatchAll" ma:showField="CatchAllData" ma:web="762947f6-5972-4897-bd30-84ce09a0b0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909D7-178C-4357-BDC4-5DE3EF18A108}">
  <ds:schemaRefs>
    <ds:schemaRef ds:uri="http://schemas.microsoft.com/office/2006/metadata/properties"/>
    <ds:schemaRef ds:uri="http://schemas.microsoft.com/office/infopath/2007/PartnerControls"/>
    <ds:schemaRef ds:uri="762947f6-5972-4897-bd30-84ce09a0b03a"/>
    <ds:schemaRef ds:uri="a02f52e5-9c6c-4007-a496-7ac12bba886f"/>
  </ds:schemaRefs>
</ds:datastoreItem>
</file>

<file path=customXml/itemProps2.xml><?xml version="1.0" encoding="utf-8"?>
<ds:datastoreItem xmlns:ds="http://schemas.openxmlformats.org/officeDocument/2006/customXml" ds:itemID="{9F5F8CCF-3A05-409E-B419-43108E984EE9}">
  <ds:schemaRefs>
    <ds:schemaRef ds:uri="http://schemas.microsoft.com/sharepoint/v3/contenttype/forms"/>
  </ds:schemaRefs>
</ds:datastoreItem>
</file>

<file path=customXml/itemProps3.xml><?xml version="1.0" encoding="utf-8"?>
<ds:datastoreItem xmlns:ds="http://schemas.openxmlformats.org/officeDocument/2006/customXml" ds:itemID="{59F78100-D15D-4B37-98B0-D588D5D5A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f52e5-9c6c-4007-a496-7ac12bba886f"/>
    <ds:schemaRef ds:uri="762947f6-5972-4897-bd30-84ce09a0b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Arkansas Regional Medical Center</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Price</dc:creator>
  <cp:keywords/>
  <dc:description/>
  <cp:lastModifiedBy>Debbie Lowery</cp:lastModifiedBy>
  <cp:revision>2</cp:revision>
  <cp:lastPrinted>2025-07-14T16:25:00Z</cp:lastPrinted>
  <dcterms:created xsi:type="dcterms:W3CDTF">2025-07-14T16:53:00Z</dcterms:created>
  <dcterms:modified xsi:type="dcterms:W3CDTF">2025-07-14T16:53:00Z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0x0101006802BD925E9CEB479315CFC7509D3415</vt:lpwstr>
  </property>
  <property fmtid="{D5CDD505-2E9C-101B-9397-08002B2CF9AE}" pid="3" name="MediaServiceImageTags">
    <vt:lpwstr/>
  </property>
</Properties>
</file>